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C3" w:rsidRDefault="001E33C3" w:rsidP="001E33C3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SUMMARY OF THE </w:t>
      </w:r>
      <w:r w:rsidRPr="001E33C3">
        <w:rPr>
          <w:rFonts w:ascii="Arial" w:hAnsi="Arial" w:cs="Arial"/>
          <w:b/>
          <w:sz w:val="24"/>
          <w:szCs w:val="24"/>
          <w:u w:val="single"/>
        </w:rPr>
        <w:t>CASE</w:t>
      </w:r>
    </w:p>
    <w:p w:rsidR="006F57C8" w:rsidRPr="006F57C8" w:rsidRDefault="006F57C8" w:rsidP="006F57C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F57C8">
        <w:rPr>
          <w:rFonts w:ascii="Arial" w:hAnsi="Arial" w:cs="Arial"/>
          <w:b/>
          <w:sz w:val="24"/>
          <w:szCs w:val="24"/>
        </w:rPr>
        <w:t>PRINCIPLE(S) DEVELOPED/UPHELD</w:t>
      </w:r>
      <w:r>
        <w:rPr>
          <w:rFonts w:ascii="Arial" w:hAnsi="Arial" w:cs="Arial"/>
          <w:b/>
          <w:sz w:val="24"/>
          <w:szCs w:val="24"/>
        </w:rPr>
        <w:t>:</w:t>
      </w:r>
    </w:p>
    <w:p w:rsidR="00EB5BE5" w:rsidRDefault="00EB5BE5" w:rsidP="001E33C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B5BE5">
        <w:rPr>
          <w:rFonts w:ascii="Arial" w:hAnsi="Arial" w:cs="Arial"/>
          <w:sz w:val="24"/>
          <w:szCs w:val="24"/>
        </w:rPr>
        <w:t>Two trademarks of different proprietors that are identical or similar and at the same time, are used or intended to be used for the same</w:t>
      </w:r>
      <w:r>
        <w:rPr>
          <w:rFonts w:ascii="Arial" w:hAnsi="Arial" w:cs="Arial"/>
          <w:sz w:val="24"/>
          <w:szCs w:val="24"/>
        </w:rPr>
        <w:t xml:space="preserve"> or </w:t>
      </w:r>
      <w:r w:rsidRPr="00EB5BE5">
        <w:rPr>
          <w:rFonts w:ascii="Arial" w:hAnsi="Arial" w:cs="Arial"/>
          <w:sz w:val="24"/>
          <w:szCs w:val="24"/>
        </w:rPr>
        <w:t>closely related goods or the same line of business</w:t>
      </w:r>
      <w:r w:rsidR="002B31C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EB5BE5">
        <w:rPr>
          <w:rFonts w:ascii="Arial" w:hAnsi="Arial" w:cs="Arial"/>
          <w:sz w:val="24"/>
          <w:szCs w:val="24"/>
        </w:rPr>
        <w:t xml:space="preserve"> cannot co-exist in the Trade and Service Marks Register.</w:t>
      </w:r>
    </w:p>
    <w:p w:rsidR="00120135" w:rsidRDefault="00120135" w:rsidP="001E33C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CASE:</w:t>
      </w:r>
    </w:p>
    <w:p w:rsidR="001E33C3" w:rsidRDefault="001E33C3" w:rsidP="001E33C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</w:t>
      </w:r>
      <w:r w:rsidR="00B7519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519E">
        <w:rPr>
          <w:rFonts w:ascii="Arial" w:hAnsi="Arial" w:cs="Arial"/>
          <w:b/>
          <w:sz w:val="24"/>
          <w:szCs w:val="24"/>
        </w:rPr>
        <w:t>Trademark Application No. TZ/T/2010/2009 SINGSUNG (word) in Class 11 in the name of See Lan Huat, and Opposition thereto by Samsung Electronics Co., Ltd</w:t>
      </w:r>
    </w:p>
    <w:p w:rsidR="001E33C3" w:rsidRPr="001E33C3" w:rsidRDefault="001E33C3" w:rsidP="001E33C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FACTS:</w:t>
      </w:r>
    </w:p>
    <w:p w:rsidR="004F7D12" w:rsidRPr="00CC7C43" w:rsidRDefault="001E33C3" w:rsidP="00CC7C4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E33C3">
        <w:rPr>
          <w:rFonts w:ascii="Arial" w:hAnsi="Arial" w:cs="Arial"/>
          <w:sz w:val="24"/>
          <w:szCs w:val="24"/>
        </w:rPr>
        <w:t>This is a ruling in respect of opposition proceedings between Samsung Electronics Co., Ltd., the Opponent, and See Lan Huat, the Applicant. The gist of the opposition is that</w:t>
      </w:r>
      <w:r w:rsidR="00012A9D">
        <w:rPr>
          <w:rFonts w:ascii="Arial" w:hAnsi="Arial" w:cs="Arial"/>
          <w:sz w:val="24"/>
          <w:szCs w:val="24"/>
        </w:rPr>
        <w:t>,</w:t>
      </w:r>
      <w:r w:rsidRPr="001E33C3">
        <w:rPr>
          <w:rFonts w:ascii="Arial" w:hAnsi="Arial" w:cs="Arial"/>
          <w:sz w:val="24"/>
          <w:szCs w:val="24"/>
        </w:rPr>
        <w:t xml:space="preserve"> the </w:t>
      </w:r>
      <w:r w:rsidR="00012A9D">
        <w:rPr>
          <w:rFonts w:ascii="Arial" w:hAnsi="Arial" w:cs="Arial"/>
          <w:sz w:val="24"/>
          <w:szCs w:val="24"/>
        </w:rPr>
        <w:t>A</w:t>
      </w:r>
      <w:r w:rsidRPr="001E33C3">
        <w:rPr>
          <w:rFonts w:ascii="Arial" w:hAnsi="Arial" w:cs="Arial"/>
          <w:sz w:val="24"/>
          <w:szCs w:val="24"/>
        </w:rPr>
        <w:t>pplicant filed with the Registrar of Trade and Services Marks</w:t>
      </w:r>
      <w:r w:rsidR="00F64423">
        <w:rPr>
          <w:rFonts w:ascii="Arial" w:hAnsi="Arial" w:cs="Arial"/>
          <w:sz w:val="24"/>
          <w:szCs w:val="24"/>
        </w:rPr>
        <w:t>,</w:t>
      </w:r>
      <w:r w:rsidRPr="001E33C3">
        <w:rPr>
          <w:rFonts w:ascii="Arial" w:hAnsi="Arial" w:cs="Arial"/>
          <w:sz w:val="24"/>
          <w:szCs w:val="24"/>
        </w:rPr>
        <w:t xml:space="preserve"> for registration of trademark number TZ/T/2010/2009 </w:t>
      </w:r>
      <w:r w:rsidRPr="001E33C3">
        <w:rPr>
          <w:rFonts w:ascii="Arial" w:hAnsi="Arial" w:cs="Arial"/>
          <w:b/>
          <w:bCs/>
          <w:sz w:val="24"/>
          <w:szCs w:val="24"/>
        </w:rPr>
        <w:t xml:space="preserve">“SINGSUNG” </w:t>
      </w:r>
      <w:r w:rsidRPr="001E33C3">
        <w:rPr>
          <w:rFonts w:ascii="Arial" w:hAnsi="Arial" w:cs="Arial"/>
          <w:sz w:val="24"/>
          <w:szCs w:val="24"/>
        </w:rPr>
        <w:t>(word)</w:t>
      </w:r>
      <w:r w:rsidRPr="001E33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3C3">
        <w:rPr>
          <w:rFonts w:ascii="Arial" w:hAnsi="Arial" w:cs="Arial"/>
          <w:sz w:val="24"/>
          <w:szCs w:val="24"/>
        </w:rPr>
        <w:t>in Class 11 of the Nice International Classification of Goods and Services </w:t>
      </w:r>
      <w:r w:rsidR="00884E64">
        <w:rPr>
          <w:rFonts w:ascii="Arial" w:hAnsi="Arial" w:cs="Arial"/>
          <w:sz w:val="24"/>
          <w:szCs w:val="24"/>
        </w:rPr>
        <w:t xml:space="preserve">in respect of </w:t>
      </w:r>
      <w:r w:rsidR="004F7D12" w:rsidRPr="001E33C3">
        <w:rPr>
          <w:rFonts w:ascii="Arial" w:hAnsi="Arial" w:cs="Arial"/>
          <w:b/>
          <w:i/>
          <w:sz w:val="24"/>
          <w:szCs w:val="24"/>
        </w:rPr>
        <w:t>“</w:t>
      </w:r>
      <w:r w:rsidR="00884E64" w:rsidRPr="001E33C3">
        <w:rPr>
          <w:rFonts w:ascii="Arial" w:hAnsi="Arial" w:cs="Arial"/>
          <w:b/>
          <w:i/>
          <w:sz w:val="24"/>
          <w:szCs w:val="24"/>
          <w:lang w:val="en-GB"/>
        </w:rPr>
        <w:t xml:space="preserve">Apparatus and Installations for lighting, heating, cooking, refrigerating, and freezing and drying; combined refrigerators and freezers; air conditioners; ovens; cookers; microwave ovens; cooking hobs; cooker noods; gas stoves; hotplates; grills, table top grills and rings; electric food warmers; toaster oven; toasters; electric kettles; coffee makers; coffee machines; rice cookers; electric pressure cookers; barbecues; hair dryers; fans; light bulbs; fluorescent tubes; electric coffee filters, toaster; domestics pressure cookers; electric apparatus for </w:t>
      </w:r>
      <w:r w:rsidR="00CC7C43" w:rsidRPr="001E33C3">
        <w:rPr>
          <w:rFonts w:ascii="Arial" w:hAnsi="Arial" w:cs="Arial"/>
          <w:b/>
          <w:i/>
          <w:sz w:val="24"/>
          <w:szCs w:val="24"/>
          <w:lang w:val="en-GB"/>
        </w:rPr>
        <w:t xml:space="preserve">making hot drinks; parts, </w:t>
      </w:r>
      <w:r w:rsidR="00CC7C43" w:rsidRPr="001E33C3">
        <w:rPr>
          <w:rFonts w:ascii="Arial" w:hAnsi="Arial" w:cs="Arial"/>
          <w:b/>
          <w:i/>
          <w:sz w:val="24"/>
          <w:szCs w:val="24"/>
          <w:lang w:val="en-GB"/>
        </w:rPr>
        <w:lastRenderedPageBreak/>
        <w:t>fittings and components for all the aforesaid goods, all included in Class 11</w:t>
      </w:r>
      <w:r w:rsidR="004F7D12" w:rsidRPr="001E33C3">
        <w:rPr>
          <w:rFonts w:ascii="Arial" w:hAnsi="Arial" w:cs="Arial"/>
          <w:b/>
          <w:i/>
          <w:sz w:val="24"/>
          <w:szCs w:val="24"/>
        </w:rPr>
        <w:t>”</w:t>
      </w:r>
      <w:r w:rsidR="004F7D12" w:rsidRPr="00746DA5">
        <w:rPr>
          <w:rFonts w:ascii="Arial" w:hAnsi="Arial" w:cs="Arial"/>
          <w:sz w:val="24"/>
          <w:szCs w:val="24"/>
        </w:rPr>
        <w:t xml:space="preserve"> </w:t>
      </w:r>
      <w:r w:rsidR="00CC7C43">
        <w:rPr>
          <w:rFonts w:ascii="Arial" w:hAnsi="Arial" w:cs="Arial"/>
          <w:sz w:val="24"/>
          <w:szCs w:val="24"/>
        </w:rPr>
        <w:t xml:space="preserve"> where the application was accepted and advertised in  the Trade and Service Marks Journal.</w:t>
      </w:r>
    </w:p>
    <w:p w:rsidR="001E33C3" w:rsidRDefault="001E33C3" w:rsidP="0043306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E33C3">
        <w:rPr>
          <w:rFonts w:ascii="Arial" w:hAnsi="Arial" w:cs="Arial"/>
          <w:sz w:val="24"/>
          <w:szCs w:val="24"/>
        </w:rPr>
        <w:t>The Opponent</w:t>
      </w:r>
      <w:r w:rsidR="00775B6E">
        <w:rPr>
          <w:rFonts w:ascii="Arial" w:hAnsi="Arial" w:cs="Arial"/>
          <w:sz w:val="24"/>
          <w:szCs w:val="24"/>
        </w:rPr>
        <w:t xml:space="preserve"> (Samsung Electronics Co. Ltd.)</w:t>
      </w:r>
      <w:r w:rsidRPr="001E33C3">
        <w:rPr>
          <w:rFonts w:ascii="Arial" w:hAnsi="Arial" w:cs="Arial"/>
          <w:sz w:val="24"/>
          <w:szCs w:val="24"/>
        </w:rPr>
        <w:t xml:space="preserve">, being </w:t>
      </w:r>
      <w:r w:rsidR="00536925">
        <w:rPr>
          <w:rFonts w:ascii="Arial" w:hAnsi="Arial" w:cs="Arial"/>
          <w:sz w:val="24"/>
          <w:szCs w:val="24"/>
        </w:rPr>
        <w:t xml:space="preserve">in disagreement </w:t>
      </w:r>
      <w:r w:rsidR="00775B6E">
        <w:rPr>
          <w:rFonts w:ascii="Arial" w:hAnsi="Arial" w:cs="Arial"/>
          <w:sz w:val="24"/>
          <w:szCs w:val="24"/>
        </w:rPr>
        <w:t>with registration of the said Mark</w:t>
      </w:r>
      <w:r w:rsidRPr="001E33C3">
        <w:rPr>
          <w:rFonts w:ascii="Arial" w:hAnsi="Arial" w:cs="Arial"/>
          <w:sz w:val="24"/>
          <w:szCs w:val="24"/>
        </w:rPr>
        <w:t>, filed a Notice of Opposition object</w:t>
      </w:r>
      <w:r w:rsidR="000345F9">
        <w:rPr>
          <w:rFonts w:ascii="Arial" w:hAnsi="Arial" w:cs="Arial"/>
          <w:sz w:val="24"/>
          <w:szCs w:val="24"/>
        </w:rPr>
        <w:t>ing</w:t>
      </w:r>
      <w:r w:rsidRPr="001E33C3">
        <w:rPr>
          <w:rFonts w:ascii="Arial" w:hAnsi="Arial" w:cs="Arial"/>
          <w:sz w:val="24"/>
          <w:szCs w:val="24"/>
        </w:rPr>
        <w:t xml:space="preserve"> the registration of </w:t>
      </w:r>
      <w:r w:rsidR="000345F9">
        <w:rPr>
          <w:rFonts w:ascii="Arial" w:hAnsi="Arial" w:cs="Arial"/>
          <w:sz w:val="24"/>
          <w:szCs w:val="24"/>
        </w:rPr>
        <w:t>the</w:t>
      </w:r>
      <w:r w:rsidRPr="001E33C3">
        <w:rPr>
          <w:rFonts w:ascii="Arial" w:hAnsi="Arial" w:cs="Arial"/>
          <w:sz w:val="24"/>
          <w:szCs w:val="24"/>
        </w:rPr>
        <w:t xml:space="preserve"> Mark </w:t>
      </w:r>
      <w:r w:rsidR="00775B6E">
        <w:rPr>
          <w:rFonts w:ascii="Arial" w:hAnsi="Arial" w:cs="Arial"/>
          <w:sz w:val="24"/>
          <w:szCs w:val="24"/>
        </w:rPr>
        <w:t>“</w:t>
      </w:r>
      <w:r w:rsidRPr="001E33C3">
        <w:rPr>
          <w:rFonts w:ascii="Arial" w:hAnsi="Arial" w:cs="Arial"/>
          <w:b/>
          <w:bCs/>
          <w:i/>
          <w:iCs/>
          <w:sz w:val="24"/>
          <w:szCs w:val="24"/>
        </w:rPr>
        <w:t>Singsung</w:t>
      </w:r>
      <w:r w:rsidR="00775B6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1E33C3">
        <w:rPr>
          <w:rFonts w:ascii="Arial" w:hAnsi="Arial" w:cs="Arial"/>
          <w:sz w:val="24"/>
          <w:szCs w:val="24"/>
        </w:rPr>
        <w:t xml:space="preserve"> on the ground that</w:t>
      </w:r>
      <w:r w:rsidR="00775B6E">
        <w:rPr>
          <w:rFonts w:ascii="Arial" w:hAnsi="Arial" w:cs="Arial"/>
          <w:sz w:val="24"/>
          <w:szCs w:val="24"/>
        </w:rPr>
        <w:t>,</w:t>
      </w:r>
      <w:r w:rsidRPr="001E33C3">
        <w:rPr>
          <w:rFonts w:ascii="Arial" w:hAnsi="Arial" w:cs="Arial"/>
          <w:sz w:val="24"/>
          <w:szCs w:val="24"/>
        </w:rPr>
        <w:t xml:space="preserve"> the impugned trademark is similar visually and phonetically to the Opponent’s trademark </w:t>
      </w:r>
      <w:r w:rsidRPr="00083564">
        <w:rPr>
          <w:rFonts w:ascii="Arial" w:hAnsi="Arial" w:cs="Arial"/>
          <w:b/>
          <w:sz w:val="24"/>
          <w:szCs w:val="24"/>
        </w:rPr>
        <w:t>SAMSUNG</w:t>
      </w:r>
      <w:r w:rsidRPr="001E33C3">
        <w:rPr>
          <w:rFonts w:ascii="Arial" w:hAnsi="Arial" w:cs="Arial"/>
          <w:sz w:val="24"/>
          <w:szCs w:val="24"/>
        </w:rPr>
        <w:t xml:space="preserve">, which is registered in Tanzania </w:t>
      </w:r>
      <w:r w:rsidR="00775B6E">
        <w:rPr>
          <w:rFonts w:ascii="Arial" w:hAnsi="Arial" w:cs="Arial"/>
          <w:sz w:val="24"/>
          <w:szCs w:val="24"/>
        </w:rPr>
        <w:t>under</w:t>
      </w:r>
      <w:r w:rsidRPr="001E33C3">
        <w:rPr>
          <w:rFonts w:ascii="Arial" w:hAnsi="Arial" w:cs="Arial"/>
          <w:sz w:val="24"/>
          <w:szCs w:val="24"/>
        </w:rPr>
        <w:t xml:space="preserve"> registration number TZ/T/2010/740 in Class 11 of the Nice Classification, thus</w:t>
      </w:r>
      <w:r w:rsidR="000345F9">
        <w:rPr>
          <w:rFonts w:ascii="Arial" w:hAnsi="Arial" w:cs="Arial"/>
          <w:sz w:val="24"/>
          <w:szCs w:val="24"/>
        </w:rPr>
        <w:t>,</w:t>
      </w:r>
      <w:r w:rsidRPr="001E33C3">
        <w:rPr>
          <w:rFonts w:ascii="Arial" w:hAnsi="Arial" w:cs="Arial"/>
          <w:sz w:val="24"/>
          <w:szCs w:val="24"/>
        </w:rPr>
        <w:t xml:space="preserve"> likely to deceive and/or cause confusion between the Opponent’s goodwill on the one hand</w:t>
      </w:r>
      <w:r w:rsidR="00083564">
        <w:rPr>
          <w:rFonts w:ascii="Arial" w:hAnsi="Arial" w:cs="Arial"/>
          <w:sz w:val="24"/>
          <w:szCs w:val="24"/>
        </w:rPr>
        <w:t>,</w:t>
      </w:r>
      <w:r w:rsidRPr="001E33C3">
        <w:rPr>
          <w:rFonts w:ascii="Arial" w:hAnsi="Arial" w:cs="Arial"/>
          <w:sz w:val="24"/>
          <w:szCs w:val="24"/>
        </w:rPr>
        <w:t xml:space="preserve"> and the goods of the Applicant on the other hand, and/or would cause members of the public to infer some connection between the two trademarks. The opponent further contended that the move for registration of the </w:t>
      </w:r>
      <w:r w:rsidR="000345F9">
        <w:rPr>
          <w:rFonts w:ascii="Arial" w:hAnsi="Arial" w:cs="Arial"/>
          <w:sz w:val="24"/>
          <w:szCs w:val="24"/>
        </w:rPr>
        <w:t>A</w:t>
      </w:r>
      <w:r w:rsidRPr="001E33C3">
        <w:rPr>
          <w:rFonts w:ascii="Arial" w:hAnsi="Arial" w:cs="Arial"/>
          <w:sz w:val="24"/>
          <w:szCs w:val="24"/>
        </w:rPr>
        <w:t>pplicant’s mark is made in bad faith and is contrary to Sections 19 and 20 of the Trade and Service Marks Act, Cap 326 [R</w:t>
      </w:r>
      <w:r w:rsidR="00083564">
        <w:rPr>
          <w:rFonts w:ascii="Arial" w:hAnsi="Arial" w:cs="Arial"/>
          <w:sz w:val="24"/>
          <w:szCs w:val="24"/>
        </w:rPr>
        <w:t>.</w:t>
      </w:r>
      <w:r w:rsidRPr="001E33C3">
        <w:rPr>
          <w:rFonts w:ascii="Arial" w:hAnsi="Arial" w:cs="Arial"/>
          <w:sz w:val="24"/>
          <w:szCs w:val="24"/>
        </w:rPr>
        <w:t>E</w:t>
      </w:r>
      <w:r w:rsidR="00083564">
        <w:rPr>
          <w:rFonts w:ascii="Arial" w:hAnsi="Arial" w:cs="Arial"/>
          <w:sz w:val="24"/>
          <w:szCs w:val="24"/>
        </w:rPr>
        <w:t>.</w:t>
      </w:r>
      <w:r w:rsidRPr="001E33C3">
        <w:rPr>
          <w:rFonts w:ascii="Arial" w:hAnsi="Arial" w:cs="Arial"/>
          <w:sz w:val="24"/>
          <w:szCs w:val="24"/>
        </w:rPr>
        <w:t xml:space="preserve"> 2002].</w:t>
      </w:r>
    </w:p>
    <w:p w:rsidR="00433063" w:rsidRDefault="001A266B" w:rsidP="0043306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ISSUES:</w:t>
      </w:r>
    </w:p>
    <w:p w:rsidR="001A266B" w:rsidRPr="001A266B" w:rsidRDefault="001A266B" w:rsidP="001A26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A266B">
        <w:rPr>
          <w:rFonts w:ascii="Arial" w:hAnsi="Arial" w:cs="Arial"/>
          <w:sz w:val="24"/>
          <w:szCs w:val="24"/>
        </w:rPr>
        <w:t xml:space="preserve">Whether the applicant’s </w:t>
      </w:r>
      <w:r w:rsidR="00296C54">
        <w:rPr>
          <w:rFonts w:ascii="Arial" w:hAnsi="Arial" w:cs="Arial"/>
          <w:sz w:val="24"/>
          <w:szCs w:val="24"/>
        </w:rPr>
        <w:t>trade</w:t>
      </w:r>
      <w:r w:rsidRPr="001A266B">
        <w:rPr>
          <w:rFonts w:ascii="Arial" w:hAnsi="Arial" w:cs="Arial"/>
          <w:sz w:val="24"/>
          <w:szCs w:val="24"/>
        </w:rPr>
        <w:t>mark “</w:t>
      </w:r>
      <w:r w:rsidRPr="001A266B">
        <w:rPr>
          <w:rFonts w:ascii="Arial" w:hAnsi="Arial" w:cs="Arial"/>
          <w:b/>
          <w:sz w:val="24"/>
          <w:szCs w:val="24"/>
        </w:rPr>
        <w:t>Singsung</w:t>
      </w:r>
      <w:r w:rsidRPr="001A266B">
        <w:rPr>
          <w:rFonts w:ascii="Arial" w:hAnsi="Arial" w:cs="Arial"/>
          <w:sz w:val="24"/>
          <w:szCs w:val="24"/>
        </w:rPr>
        <w:t xml:space="preserve">” is similar to the </w:t>
      </w:r>
      <w:r w:rsidR="00083564" w:rsidRPr="001A266B">
        <w:rPr>
          <w:rFonts w:ascii="Arial" w:hAnsi="Arial" w:cs="Arial"/>
          <w:sz w:val="24"/>
          <w:szCs w:val="24"/>
        </w:rPr>
        <w:t>Opponent</w:t>
      </w:r>
      <w:r w:rsidR="00083564">
        <w:rPr>
          <w:rFonts w:ascii="Arial" w:hAnsi="Arial" w:cs="Arial"/>
          <w:sz w:val="24"/>
          <w:szCs w:val="24"/>
        </w:rPr>
        <w:t xml:space="preserve">’s </w:t>
      </w:r>
      <w:r w:rsidR="00083564" w:rsidRPr="001A266B">
        <w:rPr>
          <w:rFonts w:ascii="Arial" w:hAnsi="Arial" w:cs="Arial"/>
          <w:sz w:val="24"/>
          <w:szCs w:val="24"/>
        </w:rPr>
        <w:t>trademark</w:t>
      </w:r>
      <w:r w:rsidRPr="001A266B">
        <w:rPr>
          <w:rFonts w:ascii="Arial" w:hAnsi="Arial" w:cs="Arial"/>
          <w:sz w:val="24"/>
          <w:szCs w:val="24"/>
        </w:rPr>
        <w:t xml:space="preserve"> "</w:t>
      </w:r>
      <w:r w:rsidRPr="001A266B">
        <w:rPr>
          <w:rFonts w:ascii="Arial" w:hAnsi="Arial" w:cs="Arial"/>
          <w:b/>
          <w:sz w:val="24"/>
          <w:szCs w:val="24"/>
        </w:rPr>
        <w:t>Samsung</w:t>
      </w:r>
      <w:r w:rsidRPr="001A266B">
        <w:rPr>
          <w:rFonts w:ascii="Arial" w:hAnsi="Arial" w:cs="Arial"/>
          <w:sz w:val="24"/>
          <w:szCs w:val="24"/>
        </w:rPr>
        <w:t xml:space="preserve">" </w:t>
      </w:r>
      <w:r w:rsidR="00F93E97">
        <w:rPr>
          <w:rFonts w:ascii="Arial" w:hAnsi="Arial" w:cs="Arial"/>
          <w:sz w:val="24"/>
          <w:szCs w:val="24"/>
        </w:rPr>
        <w:t xml:space="preserve">and </w:t>
      </w:r>
      <w:r w:rsidRPr="001A266B">
        <w:rPr>
          <w:rFonts w:ascii="Arial" w:hAnsi="Arial" w:cs="Arial"/>
          <w:sz w:val="24"/>
          <w:szCs w:val="24"/>
        </w:rPr>
        <w:t>thus</w:t>
      </w:r>
      <w:r w:rsidR="00083564">
        <w:rPr>
          <w:rFonts w:ascii="Arial" w:hAnsi="Arial" w:cs="Arial"/>
          <w:sz w:val="24"/>
          <w:szCs w:val="24"/>
        </w:rPr>
        <w:t>,</w:t>
      </w:r>
      <w:r w:rsidRPr="001A266B">
        <w:rPr>
          <w:rFonts w:ascii="Arial" w:hAnsi="Arial" w:cs="Arial"/>
          <w:sz w:val="24"/>
          <w:szCs w:val="24"/>
        </w:rPr>
        <w:t xml:space="preserve"> likely to cause confusion or deceive the general public.</w:t>
      </w:r>
    </w:p>
    <w:p w:rsidR="001A266B" w:rsidRPr="001A266B" w:rsidRDefault="001A266B" w:rsidP="001A26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A266B">
        <w:rPr>
          <w:rFonts w:ascii="Arial" w:hAnsi="Arial" w:cs="Arial"/>
          <w:sz w:val="24"/>
          <w:szCs w:val="24"/>
        </w:rPr>
        <w:t xml:space="preserve">Whether the </w:t>
      </w:r>
      <w:r w:rsidR="00CB259D">
        <w:rPr>
          <w:rFonts w:ascii="Arial" w:hAnsi="Arial" w:cs="Arial"/>
          <w:sz w:val="24"/>
          <w:szCs w:val="24"/>
        </w:rPr>
        <w:t>Opponent’s</w:t>
      </w:r>
      <w:r w:rsidRPr="001A266B">
        <w:rPr>
          <w:rFonts w:ascii="Arial" w:hAnsi="Arial" w:cs="Arial"/>
          <w:sz w:val="24"/>
          <w:szCs w:val="24"/>
        </w:rPr>
        <w:t xml:space="preserve"> </w:t>
      </w:r>
      <w:r w:rsidR="00296C54">
        <w:rPr>
          <w:rFonts w:ascii="Arial" w:hAnsi="Arial" w:cs="Arial"/>
          <w:sz w:val="24"/>
          <w:szCs w:val="24"/>
        </w:rPr>
        <w:t>trade</w:t>
      </w:r>
      <w:r w:rsidRPr="001A266B">
        <w:rPr>
          <w:rFonts w:ascii="Arial" w:hAnsi="Arial" w:cs="Arial"/>
          <w:sz w:val="24"/>
          <w:szCs w:val="24"/>
        </w:rPr>
        <w:t>mark is well-known and capable of being protected under Section 19(d) of the Trade and Service Marks Act.</w:t>
      </w:r>
    </w:p>
    <w:p w:rsidR="00753052" w:rsidRPr="001A266B" w:rsidRDefault="001A266B" w:rsidP="0075305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A266B">
        <w:rPr>
          <w:rFonts w:ascii="Arial" w:hAnsi="Arial" w:cs="Arial"/>
          <w:sz w:val="24"/>
          <w:szCs w:val="24"/>
        </w:rPr>
        <w:t>Whether</w:t>
      </w:r>
      <w:r w:rsidR="00F501C5">
        <w:rPr>
          <w:rFonts w:ascii="Arial" w:hAnsi="Arial" w:cs="Arial"/>
          <w:sz w:val="24"/>
          <w:szCs w:val="24"/>
        </w:rPr>
        <w:t xml:space="preserve"> trademarks</w:t>
      </w:r>
      <w:r w:rsidRPr="001A266B">
        <w:rPr>
          <w:rFonts w:ascii="Arial" w:hAnsi="Arial" w:cs="Arial"/>
          <w:sz w:val="24"/>
          <w:szCs w:val="24"/>
        </w:rPr>
        <w:t xml:space="preserve"> SINGSUNG and SAMSUNG can co-exist in the </w:t>
      </w:r>
      <w:r w:rsidR="00296C54">
        <w:rPr>
          <w:rFonts w:ascii="Arial" w:hAnsi="Arial" w:cs="Arial"/>
          <w:sz w:val="24"/>
          <w:szCs w:val="24"/>
        </w:rPr>
        <w:t>R</w:t>
      </w:r>
      <w:r w:rsidRPr="001A266B">
        <w:rPr>
          <w:rFonts w:ascii="Arial" w:hAnsi="Arial" w:cs="Arial"/>
          <w:sz w:val="24"/>
          <w:szCs w:val="24"/>
        </w:rPr>
        <w:t>egister</w:t>
      </w:r>
      <w:r>
        <w:rPr>
          <w:rFonts w:ascii="Arial" w:hAnsi="Arial" w:cs="Arial"/>
          <w:sz w:val="24"/>
          <w:szCs w:val="24"/>
        </w:rPr>
        <w:t>,</w:t>
      </w:r>
      <w:r w:rsidRPr="001A266B">
        <w:rPr>
          <w:rFonts w:ascii="Arial" w:hAnsi="Arial" w:cs="Arial"/>
          <w:sz w:val="24"/>
          <w:szCs w:val="24"/>
        </w:rPr>
        <w:t xml:space="preserve"> both under </w:t>
      </w:r>
      <w:r>
        <w:rPr>
          <w:rFonts w:ascii="Arial" w:hAnsi="Arial" w:cs="Arial"/>
          <w:sz w:val="24"/>
          <w:szCs w:val="24"/>
        </w:rPr>
        <w:t xml:space="preserve">the same </w:t>
      </w:r>
      <w:r w:rsidR="00D6225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lass, namely Class 11 of the Nice Classification</w:t>
      </w:r>
      <w:r w:rsidRPr="001A266B">
        <w:rPr>
          <w:rFonts w:ascii="Arial" w:hAnsi="Arial" w:cs="Arial"/>
          <w:sz w:val="24"/>
          <w:szCs w:val="24"/>
        </w:rPr>
        <w:t>.</w:t>
      </w:r>
    </w:p>
    <w:p w:rsidR="00FE6645" w:rsidRDefault="00FE6645" w:rsidP="0075305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E6645" w:rsidRDefault="00FE6645" w:rsidP="0075305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53052" w:rsidRDefault="00753052" w:rsidP="007530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A266B">
        <w:rPr>
          <w:rFonts w:ascii="Arial" w:hAnsi="Arial" w:cs="Arial"/>
          <w:b/>
          <w:sz w:val="24"/>
          <w:szCs w:val="24"/>
        </w:rPr>
        <w:lastRenderedPageBreak/>
        <w:t>HOLDING</w:t>
      </w:r>
      <w:r>
        <w:rPr>
          <w:rFonts w:ascii="Arial" w:hAnsi="Arial" w:cs="Arial"/>
          <w:sz w:val="24"/>
          <w:szCs w:val="24"/>
        </w:rPr>
        <w:t>:</w:t>
      </w:r>
    </w:p>
    <w:p w:rsidR="001A266B" w:rsidRDefault="001A266B" w:rsidP="001A26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A266B">
        <w:rPr>
          <w:rFonts w:ascii="Arial" w:hAnsi="Arial" w:cs="Arial"/>
          <w:sz w:val="24"/>
          <w:szCs w:val="24"/>
        </w:rPr>
        <w:t xml:space="preserve">In determining the similarity and dissimilarity of marks where the principle of </w:t>
      </w:r>
      <w:r w:rsidR="00F93E97">
        <w:rPr>
          <w:rFonts w:ascii="Arial" w:hAnsi="Arial" w:cs="Arial"/>
          <w:sz w:val="24"/>
          <w:szCs w:val="24"/>
        </w:rPr>
        <w:t xml:space="preserve">the </w:t>
      </w:r>
      <w:r w:rsidRPr="001A266B">
        <w:rPr>
          <w:rFonts w:ascii="Arial" w:hAnsi="Arial" w:cs="Arial"/>
          <w:sz w:val="24"/>
          <w:szCs w:val="24"/>
        </w:rPr>
        <w:t xml:space="preserve">first syllable rule may be applied, the two trademarks “SINGSUNG” and "SAMSUNG,” </w:t>
      </w:r>
      <w:r w:rsidR="00F93E97">
        <w:rPr>
          <w:rFonts w:ascii="Arial" w:hAnsi="Arial" w:cs="Arial"/>
          <w:sz w:val="24"/>
          <w:szCs w:val="24"/>
        </w:rPr>
        <w:t>even though</w:t>
      </w:r>
      <w:r>
        <w:rPr>
          <w:rFonts w:ascii="Arial" w:hAnsi="Arial" w:cs="Arial"/>
          <w:sz w:val="24"/>
          <w:szCs w:val="24"/>
        </w:rPr>
        <w:t xml:space="preserve"> both start with a prefix "S,"</w:t>
      </w:r>
      <w:r w:rsidRPr="001A266B">
        <w:rPr>
          <w:rFonts w:ascii="Arial" w:hAnsi="Arial" w:cs="Arial"/>
          <w:sz w:val="24"/>
          <w:szCs w:val="24"/>
        </w:rPr>
        <w:t xml:space="preserve"> </w:t>
      </w:r>
      <w:r w:rsidR="00D461B3">
        <w:rPr>
          <w:rFonts w:ascii="Arial" w:hAnsi="Arial" w:cs="Arial"/>
          <w:sz w:val="24"/>
          <w:szCs w:val="24"/>
        </w:rPr>
        <w:t xml:space="preserve">and </w:t>
      </w:r>
      <w:r w:rsidRPr="001A266B">
        <w:rPr>
          <w:rFonts w:ascii="Arial" w:hAnsi="Arial" w:cs="Arial"/>
          <w:sz w:val="24"/>
          <w:szCs w:val="24"/>
        </w:rPr>
        <w:t xml:space="preserve">both end with a </w:t>
      </w:r>
      <w:r w:rsidR="00066823" w:rsidRPr="001A266B">
        <w:rPr>
          <w:rFonts w:ascii="Arial" w:hAnsi="Arial" w:cs="Arial"/>
          <w:sz w:val="24"/>
          <w:szCs w:val="24"/>
        </w:rPr>
        <w:t>suffix “</w:t>
      </w:r>
      <w:r w:rsidRPr="001A266B">
        <w:rPr>
          <w:rFonts w:ascii="Arial" w:hAnsi="Arial" w:cs="Arial"/>
          <w:sz w:val="24"/>
          <w:szCs w:val="24"/>
        </w:rPr>
        <w:t xml:space="preserve">SUNG,” </w:t>
      </w:r>
      <w:r>
        <w:rPr>
          <w:rFonts w:ascii="Arial" w:hAnsi="Arial" w:cs="Arial"/>
          <w:sz w:val="24"/>
          <w:szCs w:val="24"/>
        </w:rPr>
        <w:t>if the Oppos</w:t>
      </w:r>
      <w:r w:rsidR="008176E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8176EB">
        <w:rPr>
          <w:rFonts w:ascii="Arial" w:hAnsi="Arial" w:cs="Arial"/>
          <w:sz w:val="24"/>
          <w:szCs w:val="24"/>
        </w:rPr>
        <w:t>trade</w:t>
      </w:r>
      <w:r>
        <w:rPr>
          <w:rFonts w:ascii="Arial" w:hAnsi="Arial" w:cs="Arial"/>
          <w:sz w:val="24"/>
          <w:szCs w:val="24"/>
        </w:rPr>
        <w:t>mark is allowed to registration</w:t>
      </w:r>
      <w:r w:rsidR="008176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likely to</w:t>
      </w:r>
      <w:r w:rsidRPr="001A266B">
        <w:rPr>
          <w:rFonts w:ascii="Arial" w:hAnsi="Arial" w:cs="Arial"/>
          <w:sz w:val="24"/>
          <w:szCs w:val="24"/>
        </w:rPr>
        <w:t xml:space="preserve"> cause confusion and/or deceive the general public.</w:t>
      </w:r>
    </w:p>
    <w:p w:rsidR="001E33C3" w:rsidRDefault="0096446E" w:rsidP="00782A4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E33C3">
        <w:rPr>
          <w:rFonts w:ascii="Arial" w:hAnsi="Arial" w:cs="Arial"/>
          <w:sz w:val="24"/>
          <w:szCs w:val="24"/>
        </w:rPr>
        <w:t xml:space="preserve"> </w:t>
      </w:r>
      <w:r w:rsidR="001E33C3" w:rsidRPr="001E33C3">
        <w:rPr>
          <w:rFonts w:ascii="Arial" w:hAnsi="Arial" w:cs="Arial"/>
          <w:sz w:val="24"/>
          <w:szCs w:val="24"/>
        </w:rPr>
        <w:t xml:space="preserve">In testing similarity of two </w:t>
      </w:r>
      <w:r w:rsidR="00066823">
        <w:rPr>
          <w:rFonts w:ascii="Arial" w:hAnsi="Arial" w:cs="Arial"/>
          <w:sz w:val="24"/>
          <w:szCs w:val="24"/>
        </w:rPr>
        <w:t>m</w:t>
      </w:r>
      <w:r w:rsidR="001E33C3" w:rsidRPr="001E33C3">
        <w:rPr>
          <w:rFonts w:ascii="Arial" w:hAnsi="Arial" w:cs="Arial"/>
          <w:sz w:val="24"/>
          <w:szCs w:val="24"/>
        </w:rPr>
        <w:t xml:space="preserve">arks in dispute, </w:t>
      </w:r>
      <w:r w:rsidR="00066823">
        <w:rPr>
          <w:rFonts w:ascii="Arial" w:hAnsi="Arial" w:cs="Arial"/>
          <w:sz w:val="24"/>
          <w:szCs w:val="24"/>
        </w:rPr>
        <w:t>a</w:t>
      </w:r>
      <w:r w:rsidR="001E33C3" w:rsidRPr="001E33C3">
        <w:rPr>
          <w:rFonts w:ascii="Arial" w:hAnsi="Arial" w:cs="Arial"/>
          <w:sz w:val="24"/>
          <w:szCs w:val="24"/>
        </w:rPr>
        <w:t xml:space="preserve"> court or quasi-judicial body usually meticulously investigates the essential features of the trademarks in question rather than </w:t>
      </w:r>
      <w:r w:rsidR="008176EB">
        <w:rPr>
          <w:rFonts w:ascii="Arial" w:hAnsi="Arial" w:cs="Arial"/>
          <w:sz w:val="24"/>
          <w:szCs w:val="24"/>
        </w:rPr>
        <w:t xml:space="preserve">only </w:t>
      </w:r>
      <w:r w:rsidR="001E33C3" w:rsidRPr="001E33C3">
        <w:rPr>
          <w:rFonts w:ascii="Arial" w:hAnsi="Arial" w:cs="Arial"/>
          <w:sz w:val="24"/>
          <w:szCs w:val="24"/>
        </w:rPr>
        <w:t>one syllable or more</w:t>
      </w:r>
      <w:r w:rsidR="0051241D">
        <w:rPr>
          <w:rFonts w:ascii="Arial" w:hAnsi="Arial" w:cs="Arial"/>
          <w:sz w:val="24"/>
          <w:szCs w:val="24"/>
        </w:rPr>
        <w:t xml:space="preserve"> syllables</w:t>
      </w:r>
      <w:r w:rsidR="001E33C3" w:rsidRPr="001E33C3">
        <w:rPr>
          <w:rFonts w:ascii="Arial" w:hAnsi="Arial" w:cs="Arial"/>
          <w:sz w:val="24"/>
          <w:szCs w:val="24"/>
        </w:rPr>
        <w:t>.</w:t>
      </w:r>
    </w:p>
    <w:p w:rsidR="00AA3DCE" w:rsidRPr="001E33C3" w:rsidRDefault="00AA3DCE" w:rsidP="00782A4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E33C3">
        <w:rPr>
          <w:rFonts w:ascii="Arial" w:hAnsi="Arial" w:cs="Arial"/>
          <w:sz w:val="24"/>
          <w:szCs w:val="24"/>
        </w:rPr>
        <w:t xml:space="preserve">The two trademarks </w:t>
      </w:r>
      <w:r w:rsidR="0051241D">
        <w:rPr>
          <w:rFonts w:ascii="Arial" w:hAnsi="Arial" w:cs="Arial"/>
          <w:sz w:val="24"/>
          <w:szCs w:val="24"/>
        </w:rPr>
        <w:t xml:space="preserve">“SINGSUNG” and “SAMSUNG” </w:t>
      </w:r>
      <w:r w:rsidRPr="001E33C3">
        <w:rPr>
          <w:rFonts w:ascii="Arial" w:hAnsi="Arial" w:cs="Arial"/>
          <w:sz w:val="24"/>
          <w:szCs w:val="24"/>
        </w:rPr>
        <w:t xml:space="preserve">cannot co-exist in the register of </w:t>
      </w:r>
      <w:r w:rsidR="008176EB">
        <w:rPr>
          <w:rFonts w:ascii="Arial" w:hAnsi="Arial" w:cs="Arial"/>
          <w:sz w:val="24"/>
          <w:szCs w:val="24"/>
        </w:rPr>
        <w:t xml:space="preserve">Trade and Service Marks, </w:t>
      </w:r>
      <w:r w:rsidRPr="001E33C3">
        <w:rPr>
          <w:rFonts w:ascii="Arial" w:hAnsi="Arial" w:cs="Arial"/>
          <w:sz w:val="24"/>
          <w:szCs w:val="24"/>
        </w:rPr>
        <w:t>registration</w:t>
      </w:r>
      <w:r w:rsidR="008176EB">
        <w:rPr>
          <w:rFonts w:ascii="Arial" w:hAnsi="Arial" w:cs="Arial"/>
          <w:sz w:val="24"/>
          <w:szCs w:val="24"/>
        </w:rPr>
        <w:t xml:space="preserve"> of trademark “SINGSUNG”</w:t>
      </w:r>
      <w:r w:rsidRPr="001E33C3">
        <w:rPr>
          <w:rFonts w:ascii="Arial" w:hAnsi="Arial" w:cs="Arial"/>
          <w:sz w:val="24"/>
          <w:szCs w:val="24"/>
        </w:rPr>
        <w:t xml:space="preserve"> would be contrary to Section 19 (d) and Section 20 of the Trade and Service Marks Act, Cap 326 [2002].</w:t>
      </w:r>
    </w:p>
    <w:p w:rsidR="00AA3DCE" w:rsidRDefault="005B0879" w:rsidP="001A266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marks are likely to deceive and cause confusion to customers and members of the public at large if allowed to co-exist in the register of Trade and Service Marks</w:t>
      </w:r>
      <w:r w:rsidR="008176EB">
        <w:rPr>
          <w:rFonts w:ascii="Arial" w:hAnsi="Arial" w:cs="Arial"/>
          <w:sz w:val="24"/>
          <w:szCs w:val="24"/>
        </w:rPr>
        <w:t xml:space="preserve"> in respect of goods falling under</w:t>
      </w:r>
      <w:r>
        <w:rPr>
          <w:rFonts w:ascii="Arial" w:hAnsi="Arial" w:cs="Arial"/>
          <w:sz w:val="24"/>
          <w:szCs w:val="24"/>
        </w:rPr>
        <w:t xml:space="preserve"> Class 11.</w:t>
      </w:r>
    </w:p>
    <w:p w:rsidR="005B0879" w:rsidRPr="005B0879" w:rsidRDefault="005B0879" w:rsidP="005B0879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ORDERS</w:t>
      </w:r>
      <w:r w:rsidRPr="005B0879">
        <w:rPr>
          <w:rFonts w:ascii="Arial" w:hAnsi="Arial" w:cs="Arial"/>
          <w:b/>
          <w:sz w:val="24"/>
          <w:szCs w:val="24"/>
        </w:rPr>
        <w:t>:</w:t>
      </w:r>
    </w:p>
    <w:p w:rsidR="001E33C3" w:rsidRDefault="001E33C3" w:rsidP="00AA3DCE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E33C3">
        <w:rPr>
          <w:rFonts w:ascii="Arial" w:hAnsi="Arial" w:cs="Arial"/>
          <w:sz w:val="24"/>
          <w:szCs w:val="24"/>
        </w:rPr>
        <w:t xml:space="preserve">The opposition proceedings were determined in favor of the </w:t>
      </w:r>
      <w:r w:rsidR="00025B50">
        <w:rPr>
          <w:rFonts w:ascii="Arial" w:hAnsi="Arial" w:cs="Arial"/>
          <w:sz w:val="24"/>
          <w:szCs w:val="24"/>
        </w:rPr>
        <w:t>O</w:t>
      </w:r>
      <w:r w:rsidRPr="001E33C3">
        <w:rPr>
          <w:rFonts w:ascii="Arial" w:hAnsi="Arial" w:cs="Arial"/>
          <w:sz w:val="24"/>
          <w:szCs w:val="24"/>
        </w:rPr>
        <w:t>pponent</w:t>
      </w:r>
      <w:r w:rsidR="00025B50">
        <w:rPr>
          <w:rFonts w:ascii="Arial" w:hAnsi="Arial" w:cs="Arial"/>
          <w:sz w:val="24"/>
          <w:szCs w:val="24"/>
        </w:rPr>
        <w:t xml:space="preserve"> (Samsung Electronics Co. Ltd.)</w:t>
      </w:r>
      <w:r w:rsidRPr="001E33C3">
        <w:rPr>
          <w:rFonts w:ascii="Arial" w:hAnsi="Arial" w:cs="Arial"/>
          <w:sz w:val="24"/>
          <w:szCs w:val="24"/>
        </w:rPr>
        <w:t>, and the trademark “SINGSUNG” was refused.</w:t>
      </w:r>
      <w:r w:rsidR="00025B50">
        <w:rPr>
          <w:rFonts w:ascii="Arial" w:hAnsi="Arial" w:cs="Arial"/>
          <w:sz w:val="24"/>
          <w:szCs w:val="24"/>
        </w:rPr>
        <w:t xml:space="preserve"> </w:t>
      </w:r>
      <w:r w:rsidRPr="001E33C3">
        <w:rPr>
          <w:rFonts w:ascii="Arial" w:hAnsi="Arial" w:cs="Arial"/>
          <w:sz w:val="24"/>
          <w:szCs w:val="24"/>
        </w:rPr>
        <w:t xml:space="preserve"> It was further ordered that</w:t>
      </w:r>
      <w:r w:rsidR="00025B50">
        <w:rPr>
          <w:rFonts w:ascii="Arial" w:hAnsi="Arial" w:cs="Arial"/>
          <w:sz w:val="24"/>
          <w:szCs w:val="24"/>
        </w:rPr>
        <w:t>,</w:t>
      </w:r>
      <w:r w:rsidRPr="001E33C3">
        <w:rPr>
          <w:rFonts w:ascii="Arial" w:hAnsi="Arial" w:cs="Arial"/>
          <w:sz w:val="24"/>
          <w:szCs w:val="24"/>
        </w:rPr>
        <w:t xml:space="preserve"> trademark application number TZ/T/2010/2009 “SINGSUNG” should not proceed </w:t>
      </w:r>
      <w:r w:rsidR="00025B50">
        <w:rPr>
          <w:rFonts w:ascii="Arial" w:hAnsi="Arial" w:cs="Arial"/>
          <w:sz w:val="24"/>
          <w:szCs w:val="24"/>
        </w:rPr>
        <w:t>to</w:t>
      </w:r>
      <w:r w:rsidRPr="001E33C3">
        <w:rPr>
          <w:rFonts w:ascii="Arial" w:hAnsi="Arial" w:cs="Arial"/>
          <w:sz w:val="24"/>
          <w:szCs w:val="24"/>
        </w:rPr>
        <w:t xml:space="preserve"> registration based on the ground of similarity with trademark number TZ/T/2010/740 SAMSUNG.</w:t>
      </w:r>
    </w:p>
    <w:p w:rsidR="005B0879" w:rsidRPr="001E33C3" w:rsidRDefault="005B0879" w:rsidP="001E33C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Costs </w:t>
      </w:r>
      <w:r w:rsidR="00363DFC">
        <w:rPr>
          <w:rFonts w:ascii="Arial" w:hAnsi="Arial" w:cs="Arial"/>
          <w:sz w:val="24"/>
          <w:szCs w:val="24"/>
        </w:rPr>
        <w:t xml:space="preserve">of the Opposition proceedings </w:t>
      </w:r>
      <w:r>
        <w:rPr>
          <w:rFonts w:ascii="Arial" w:hAnsi="Arial" w:cs="Arial"/>
          <w:sz w:val="24"/>
          <w:szCs w:val="24"/>
        </w:rPr>
        <w:t>to follow the event.</w:t>
      </w:r>
    </w:p>
    <w:p w:rsidR="00AA3DCE" w:rsidRPr="005B0879" w:rsidRDefault="005B0879" w:rsidP="00AA3DC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B0879">
        <w:rPr>
          <w:rFonts w:ascii="Arial" w:hAnsi="Arial" w:cs="Arial"/>
          <w:b/>
          <w:sz w:val="24"/>
          <w:szCs w:val="24"/>
        </w:rPr>
        <w:lastRenderedPageBreak/>
        <w:t>CITED CASES:</w:t>
      </w:r>
    </w:p>
    <w:p w:rsidR="00AA3DCE" w:rsidRDefault="00AA3DCE" w:rsidP="00AA3DC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3DCE">
        <w:rPr>
          <w:rFonts w:ascii="Arial" w:hAnsi="Arial" w:cs="Arial"/>
          <w:sz w:val="24"/>
          <w:szCs w:val="24"/>
        </w:rPr>
        <w:t>Glaxo Group Limited v. J.B Chemical &amp; Pharmaceutical Ltd, Misc. Case No. 3 of 2007 High Court Commercial Division</w:t>
      </w:r>
    </w:p>
    <w:p w:rsidR="001E33C3" w:rsidRPr="001E33C3" w:rsidRDefault="00AA3DCE" w:rsidP="001E33C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Tanzania Distilleries Ltd v. Vitamin Foods (1989) Ltd [2002] TLR 15</w:t>
      </w:r>
    </w:p>
    <w:p w:rsidR="001E33C3" w:rsidRPr="001E33C3" w:rsidRDefault="001E33C3" w:rsidP="001E33C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E33C3">
        <w:rPr>
          <w:rFonts w:ascii="Arial" w:hAnsi="Arial" w:cs="Arial"/>
          <w:b/>
          <w:sz w:val="24"/>
          <w:szCs w:val="24"/>
        </w:rPr>
        <w:t>LAWS:</w:t>
      </w:r>
    </w:p>
    <w:p w:rsidR="001E33C3" w:rsidRDefault="001E33C3" w:rsidP="001E33C3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Trade and Service Marks Act, Cap 326 [R</w:t>
      </w:r>
      <w:r w:rsidR="000835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E</w:t>
      </w:r>
      <w:r w:rsidR="000835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2002]</w:t>
      </w:r>
    </w:p>
    <w:p w:rsidR="001E33C3" w:rsidRPr="00083564" w:rsidRDefault="001E33C3" w:rsidP="00083564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1E33C3" w:rsidRPr="00083564" w:rsidSect="001E33C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D82"/>
    <w:multiLevelType w:val="hybridMultilevel"/>
    <w:tmpl w:val="30081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0A4"/>
    <w:multiLevelType w:val="hybridMultilevel"/>
    <w:tmpl w:val="0332EC48"/>
    <w:lvl w:ilvl="0" w:tplc="2A36C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4659"/>
    <w:multiLevelType w:val="hybridMultilevel"/>
    <w:tmpl w:val="53926A38"/>
    <w:lvl w:ilvl="0" w:tplc="C40A3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76C"/>
    <w:multiLevelType w:val="multilevel"/>
    <w:tmpl w:val="F262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  <w:b/>
        <w:i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64C2D"/>
    <w:multiLevelType w:val="hybridMultilevel"/>
    <w:tmpl w:val="1BCA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71D23"/>
    <w:multiLevelType w:val="hybridMultilevel"/>
    <w:tmpl w:val="1E8E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5A27"/>
    <w:multiLevelType w:val="hybridMultilevel"/>
    <w:tmpl w:val="88EC5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12"/>
    <w:rsid w:val="00012A9D"/>
    <w:rsid w:val="00025B50"/>
    <w:rsid w:val="000345F9"/>
    <w:rsid w:val="0004620A"/>
    <w:rsid w:val="00055206"/>
    <w:rsid w:val="00066823"/>
    <w:rsid w:val="00083564"/>
    <w:rsid w:val="00120135"/>
    <w:rsid w:val="001A266B"/>
    <w:rsid w:val="001E33C3"/>
    <w:rsid w:val="00222E87"/>
    <w:rsid w:val="00296C54"/>
    <w:rsid w:val="002B31CD"/>
    <w:rsid w:val="002D3F10"/>
    <w:rsid w:val="00363DFC"/>
    <w:rsid w:val="003A3895"/>
    <w:rsid w:val="00433063"/>
    <w:rsid w:val="004F7D12"/>
    <w:rsid w:val="0051241D"/>
    <w:rsid w:val="00536925"/>
    <w:rsid w:val="005B0879"/>
    <w:rsid w:val="005B24ED"/>
    <w:rsid w:val="005D6BF9"/>
    <w:rsid w:val="005E6DCC"/>
    <w:rsid w:val="00616F21"/>
    <w:rsid w:val="006E41EE"/>
    <w:rsid w:val="006F57C8"/>
    <w:rsid w:val="007423AB"/>
    <w:rsid w:val="00753052"/>
    <w:rsid w:val="00765BEE"/>
    <w:rsid w:val="00775B6E"/>
    <w:rsid w:val="0081427C"/>
    <w:rsid w:val="00814708"/>
    <w:rsid w:val="008176EB"/>
    <w:rsid w:val="00884E64"/>
    <w:rsid w:val="008E125C"/>
    <w:rsid w:val="009007E9"/>
    <w:rsid w:val="0096446E"/>
    <w:rsid w:val="009B5FC8"/>
    <w:rsid w:val="00AA3DCE"/>
    <w:rsid w:val="00B20339"/>
    <w:rsid w:val="00B7519E"/>
    <w:rsid w:val="00CB259D"/>
    <w:rsid w:val="00CC7C43"/>
    <w:rsid w:val="00CD3CD2"/>
    <w:rsid w:val="00D4245F"/>
    <w:rsid w:val="00D461B3"/>
    <w:rsid w:val="00D62251"/>
    <w:rsid w:val="00D906DE"/>
    <w:rsid w:val="00E00943"/>
    <w:rsid w:val="00E024E5"/>
    <w:rsid w:val="00EB5BE5"/>
    <w:rsid w:val="00F501C5"/>
    <w:rsid w:val="00F64423"/>
    <w:rsid w:val="00F6735E"/>
    <w:rsid w:val="00F93E97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4913A"/>
  <w15:chartTrackingRefBased/>
  <w15:docId w15:val="{837DC3AB-3ED4-48D8-B22D-9C3BB774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Loy Mhando</cp:lastModifiedBy>
  <cp:revision>3</cp:revision>
  <dcterms:created xsi:type="dcterms:W3CDTF">2024-04-12T20:24:00Z</dcterms:created>
  <dcterms:modified xsi:type="dcterms:W3CDTF">2024-04-12T20:24:00Z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1b60ce27eac6254c48a24b599b34f42233dbaadcc00e69b475012c9479b73608</vt:lpwstr>
  </property>
</Properties>
</file>